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F" w:rsidRPr="00A96A07" w:rsidRDefault="0017142F" w:rsidP="0017142F">
      <w:pPr>
        <w:shd w:val="clear" w:color="auto" w:fill="FFFFFF"/>
        <w:spacing w:after="0" w:line="240" w:lineRule="auto"/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Список </w:t>
      </w:r>
      <w:proofErr w:type="gramStart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наших</w:t>
      </w:r>
      <w:proofErr w:type="gramEnd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СРО</w:t>
      </w:r>
      <w:r w:rsidR="00A96A07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стройка</w:t>
      </w: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: </w:t>
      </w:r>
    </w:p>
    <w:p w:rsidR="0017142F" w:rsidRPr="0017142F" w:rsidRDefault="0017142F" w:rsidP="00D1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"МОСОБЛСТРОЙКОМПЛЕКС" (</w:t>
      </w:r>
      <w:hyperlink r:id="rId6" w:tgtFrame="_blank" w:tooltip="http://npmosk.ru/" w:history="1">
        <w:r w:rsidRPr="00D1709C">
          <w:rPr>
            <w:rFonts w:ascii="Arial" w:eastAsia="Times New Roman" w:hAnsi="Arial" w:cs="Arial"/>
            <w:color w:val="313131"/>
            <w:sz w:val="19"/>
            <w:szCs w:val="19"/>
            <w:lang w:eastAsia="ru-RU"/>
          </w:rPr>
          <w:t>http://npmosk.ru/</w:t>
        </w:r>
      </w:hyperlink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) -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МО</w:t>
      </w:r>
    </w:p>
    <w:p w:rsidR="0017142F" w:rsidRPr="0017142F" w:rsidRDefault="0017142F" w:rsidP="00D1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"ЭКСПЕРТ СТРОЙ" (</w:t>
      </w:r>
      <w:hyperlink r:id="rId7" w:history="1">
        <w:r w:rsidR="001A67FB" w:rsidRPr="00390A24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http://xn--e1afkjdhecfed6j.xn--p1ai/) -</w:t>
        </w:r>
      </w:hyperlink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Москву.</w:t>
      </w:r>
    </w:p>
    <w:p w:rsidR="0017142F" w:rsidRPr="0017142F" w:rsidRDefault="0017142F" w:rsidP="00D1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АСО "СИЛА" (</w:t>
      </w:r>
      <w:hyperlink r:id="rId8" w:history="1">
        <w:r w:rsidR="001A67FB" w:rsidRPr="00390A24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http://asosil</w:t>
        </w:r>
        <w:r w:rsidR="001A67FB" w:rsidRPr="00390A24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a</w:t>
        </w:r>
        <w:r w:rsidR="001A67FB" w:rsidRPr="00390A24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.ru/) -</w:t>
        </w:r>
      </w:hyperlink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только Москву.</w:t>
      </w:r>
    </w:p>
    <w:p w:rsidR="0017142F" w:rsidRDefault="0017142F" w:rsidP="00D1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"МОСК" (</w:t>
      </w:r>
      <w:hyperlink r:id="rId9" w:history="1">
        <w:r w:rsidR="001A67FB" w:rsidRPr="00390A24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http://www.sro-mosk.ru/) -</w:t>
        </w:r>
      </w:hyperlink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только Санкт-Петербург</w:t>
      </w:r>
    </w:p>
    <w:p w:rsidR="00174CDF" w:rsidRPr="0017142F" w:rsidRDefault="00174CDF" w:rsidP="0017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АС "ПСС"(</w:t>
      </w:r>
      <w:hyperlink r:id="rId10" w:tgtFrame="_blank" w:tooltip="http://sropss.ru/structure/" w:history="1">
        <w:r w:rsidRPr="00D1709C">
          <w:rPr>
            <w:rFonts w:ascii="Arial" w:eastAsia="Times New Roman" w:hAnsi="Arial" w:cs="Arial"/>
            <w:color w:val="313131"/>
            <w:sz w:val="19"/>
            <w:szCs w:val="19"/>
            <w:lang w:eastAsia="ru-RU"/>
          </w:rPr>
          <w:t>http://sropss.ru/structure/</w:t>
        </w:r>
      </w:hyperlink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-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только Краснодар</w:t>
      </w:r>
    </w:p>
    <w:p w:rsidR="00174CDF" w:rsidRPr="0017142F" w:rsidRDefault="00174CDF" w:rsidP="0017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А СМСБ (</w:t>
      </w:r>
      <w:hyperlink r:id="rId11" w:tgtFrame="_blank" w:tooltip="http://www.sro-group.ru/" w:history="1">
        <w:r w:rsidRPr="00D1709C">
          <w:rPr>
            <w:rFonts w:ascii="Arial" w:eastAsia="Times New Roman" w:hAnsi="Arial" w:cs="Arial"/>
            <w:color w:val="313131"/>
            <w:sz w:val="19"/>
            <w:szCs w:val="19"/>
            <w:lang w:eastAsia="ru-RU"/>
          </w:rPr>
          <w:t>http://www.sro-group.ru/</w:t>
        </w:r>
      </w:hyperlink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-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Нижегородскую область.</w:t>
      </w:r>
    </w:p>
    <w:p w:rsidR="00174CDF" w:rsidRDefault="00174CDF" w:rsidP="0017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«ОПС» (</w:t>
      </w:r>
      <w:hyperlink r:id="rId12" w:tgtFrame="_blank" w:tooltip="http://www.sro-ops.ru/" w:history="1">
        <w:r w:rsidRPr="00D1709C">
          <w:rPr>
            <w:rFonts w:ascii="Arial" w:eastAsia="Times New Roman" w:hAnsi="Arial" w:cs="Arial"/>
            <w:color w:val="313131"/>
            <w:sz w:val="19"/>
            <w:szCs w:val="19"/>
            <w:lang w:eastAsia="ru-RU"/>
          </w:rPr>
          <w:t>http://www.sro-ops.ru/</w:t>
        </w:r>
      </w:hyperlink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 w:rsidR="001A67FB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- 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только Казань.</w:t>
      </w:r>
    </w:p>
    <w:p w:rsidR="006347FE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lang w:bidi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Срок оказания услуги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– 1-2 рабочих дня (</w:t>
      </w:r>
      <w:r w:rsidRPr="002474E6">
        <w:rPr>
          <w:lang w:bidi="ru-RU"/>
        </w:rPr>
        <w:t>с момента поступления правильно пр</w:t>
      </w:r>
      <w:r>
        <w:rPr>
          <w:lang w:bidi="ru-RU"/>
        </w:rPr>
        <w:t xml:space="preserve">оведённых платежей на счета СРО и предоставления всех необходимых документов) </w:t>
      </w:r>
    </w:p>
    <w:p w:rsidR="006347FE" w:rsidRPr="0017142F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Условия оказания услуги</w:t>
      </w:r>
      <w:r>
        <w:t xml:space="preserve"> п</w:t>
      </w:r>
      <w:r w:rsidRPr="002474E6">
        <w:t>о договору между Заказчиком и Исполнителем</w:t>
      </w:r>
    </w:p>
    <w:p w:rsidR="0017142F" w:rsidRPr="00A96A07" w:rsidRDefault="00A96A07" w:rsidP="00A96A07">
      <w:pPr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</w:t>
      </w:r>
      <w:r w:rsidR="0017142F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еобходимый список документов: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ИНН</w:t>
      </w:r>
      <w:proofErr w:type="gramStart"/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;</w:t>
      </w:r>
      <w:proofErr w:type="gramEnd"/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ОГРН;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Устав</w:t>
      </w:r>
      <w:r w:rsid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и </w:t>
      </w:r>
      <w:r w:rsidR="006347FE" w:rsidRP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изменения к уставу (если были)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Решение о создании; 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Приказ о назначении Гендиректора;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Договор аренды или свидетельство о праве собственности на юридический или фактический адрес;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Паспорт руководителя;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карточка организации с банковскими реквизитами для выставления счёта.</w:t>
      </w:r>
    </w:p>
    <w:p w:rsidR="0097301E" w:rsidRPr="0097301E" w:rsidRDefault="0097301E" w:rsidP="00973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Договор страхования </w:t>
      </w:r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(стоимость договора страхования от 10 </w:t>
      </w:r>
      <w:proofErr w:type="spell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тыс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.р</w:t>
      </w:r>
      <w:proofErr w:type="gram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уб</w:t>
      </w:r>
      <w:proofErr w:type="spell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., в зависимости от страхового покрытия. 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Минимальный лимит страхования гражданской ответственности членов Ассоциации составляет 5 000 000 (пять миллионов) рублей.)</w:t>
      </w:r>
      <w:proofErr w:type="gramEnd"/>
    </w:p>
    <w:p w:rsidR="001C5F39" w:rsidRPr="0097301E" w:rsidRDefault="001C5F39" w:rsidP="009730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  <w:t>Перечень необходимых документов на сотрудников (НРС):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Диплома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Удостоверения о повышении квалификации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Должностной инструкции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Трудовой книжки.</w:t>
      </w:r>
    </w:p>
    <w:p w:rsidR="001C5F39" w:rsidRPr="00086644" w:rsidRDefault="0097301E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</w:t>
      </w:r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витанция об отправки или </w:t>
      </w:r>
      <w:proofErr w:type="gramStart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Уведомление</w:t>
      </w:r>
      <w:proofErr w:type="gramEnd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 о внесении</w:t>
      </w:r>
    </w:p>
    <w:p w:rsidR="00086644" w:rsidRPr="00086644" w:rsidRDefault="00086644" w:rsidP="0008664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08664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</w:t>
      </w:r>
      <w:r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Вступительный</w:t>
            </w:r>
            <w:r w:rsidR="008355BF"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взнос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</w:t>
            </w:r>
            <w:r w:rsidR="006347FE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о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плачивается единовременно при вступлении в Ассоциацию</w:t>
            </w:r>
            <w:r w:rsidR="008355BF" w:rsidRPr="00086644">
              <w:rPr>
                <w:i/>
              </w:rPr>
              <w:t>)</w:t>
            </w:r>
          </w:p>
        </w:tc>
        <w:tc>
          <w:tcPr>
            <w:tcW w:w="1701" w:type="dxa"/>
          </w:tcPr>
          <w:p w:rsidR="00A96A07" w:rsidRDefault="00A96A07">
            <w:r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 руб.</w:t>
            </w:r>
          </w:p>
        </w:tc>
      </w:tr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Целевые взносы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(оплачивается один раз в год)</w:t>
            </w:r>
          </w:p>
        </w:tc>
        <w:tc>
          <w:tcPr>
            <w:tcW w:w="1701" w:type="dxa"/>
          </w:tcPr>
          <w:p w:rsidR="00A96A07" w:rsidRDefault="00A96A07">
            <w:r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6400 руб.</w:t>
            </w:r>
          </w:p>
        </w:tc>
      </w:tr>
    </w:tbl>
    <w:p w:rsidR="00086644" w:rsidRDefault="00086644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D1709C" w:rsidRPr="00A96A07" w:rsidRDefault="00D1709C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 в компенсационный фонд возмещения вреда</w:t>
      </w:r>
    </w:p>
    <w:p w:rsidR="00A96A07" w:rsidRPr="00A96A07" w:rsidRDefault="00A96A07" w:rsidP="00A96A07">
      <w:pPr>
        <w:spacing w:after="0" w:line="240" w:lineRule="auto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2158"/>
        <w:gridCol w:w="1967"/>
        <w:gridCol w:w="2393"/>
      </w:tblGrid>
      <w:tr w:rsidR="00A96A07" w:rsidTr="00A056D0">
        <w:tc>
          <w:tcPr>
            <w:tcW w:w="3053" w:type="dxa"/>
          </w:tcPr>
          <w:p w:rsidR="00A96A07" w:rsidRPr="00A96A07" w:rsidRDefault="00A96A07" w:rsidP="00A96A07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96A07" w:rsidRPr="00A96A07" w:rsidRDefault="00086644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Взнос в компенсационный фонд</w:t>
            </w:r>
          </w:p>
        </w:tc>
        <w:tc>
          <w:tcPr>
            <w:tcW w:w="1967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393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96A07" w:rsidTr="00A056D0">
        <w:tc>
          <w:tcPr>
            <w:tcW w:w="305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60 000 000 рублей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(1-ый уровень ответственности)</w:t>
            </w:r>
          </w:p>
          <w:p w:rsidR="00A96A07" w:rsidRDefault="00A96A07" w:rsidP="00A96A07"/>
        </w:tc>
        <w:tc>
          <w:tcPr>
            <w:tcW w:w="2158" w:type="dxa"/>
          </w:tcPr>
          <w:p w:rsidR="00A96A07" w:rsidRDefault="00A96A07" w:rsidP="00A96A07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100 000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500 000 000 рублей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(2-ой уровень ответственности)</w:t>
            </w:r>
          </w:p>
          <w:p w:rsidR="00A96A07" w:rsidRDefault="00A96A07" w:rsidP="00A96A07"/>
        </w:tc>
        <w:tc>
          <w:tcPr>
            <w:tcW w:w="2158" w:type="dxa"/>
          </w:tcPr>
          <w:p w:rsidR="00A96A07" w:rsidRDefault="00A96A07" w:rsidP="00A96A07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500 000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3 000 000 000 рублей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(3-ий уровень ответственности)</w:t>
            </w:r>
          </w:p>
          <w:p w:rsidR="00A96A07" w:rsidRDefault="00A96A07" w:rsidP="00A96A07"/>
        </w:tc>
        <w:tc>
          <w:tcPr>
            <w:tcW w:w="2158" w:type="dxa"/>
          </w:tcPr>
          <w:p w:rsidR="00A96A07" w:rsidRDefault="00A96A07" w:rsidP="00A96A07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1 500 000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20 000 000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10 000 000 000 рублей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(4-ый уровень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ответственности)</w:t>
            </w:r>
          </w:p>
          <w:p w:rsidR="00A96A07" w:rsidRDefault="00A96A07" w:rsidP="00A96A07"/>
        </w:tc>
        <w:tc>
          <w:tcPr>
            <w:tcW w:w="2158" w:type="dxa"/>
          </w:tcPr>
          <w:p w:rsidR="00A96A07" w:rsidRDefault="00A96A07" w:rsidP="00A96A07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2 000 000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lastRenderedPageBreak/>
              <w:t>от 10 000 000 000 рублей</w:t>
            </w:r>
          </w:p>
          <w:p w:rsidR="00A96A07" w:rsidRPr="00086644" w:rsidRDefault="00A96A07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(5-ый уровень ответственности)</w:t>
            </w:r>
          </w:p>
        </w:tc>
        <w:tc>
          <w:tcPr>
            <w:tcW w:w="2158" w:type="dxa"/>
          </w:tcPr>
          <w:p w:rsidR="00A96A07" w:rsidRDefault="00A96A07" w:rsidP="00A96A07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5 000 000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100 000 000 рублей</w:t>
            </w:r>
          </w:p>
          <w:p w:rsidR="00A96A07" w:rsidRDefault="00A96A07" w:rsidP="00A96A07"/>
        </w:tc>
      </w:tr>
    </w:tbl>
    <w:p w:rsidR="00D1709C" w:rsidRDefault="00D1709C"/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8355BF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 в компенсационный фонд обеспечения договорных обязательств:</w:t>
      </w:r>
      <w:r w:rsidR="00242B8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(является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обязательным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для тех, кто планирует участвовать в заключени</w:t>
      </w:r>
      <w:proofErr w:type="gramStart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</w:t>
      </w:r>
      <w:proofErr w:type="gramEnd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договоров подряда с использованием конкурентных способов заключения договоров (участие в государственных и муниципальных торгах)</w:t>
      </w:r>
      <w:r w:rsid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</w:p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2158"/>
        <w:gridCol w:w="1953"/>
        <w:gridCol w:w="2551"/>
      </w:tblGrid>
      <w:tr w:rsidR="00A056D0" w:rsidTr="00A056D0">
        <w:tc>
          <w:tcPr>
            <w:tcW w:w="3085" w:type="dxa"/>
          </w:tcPr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056D0" w:rsidRPr="00A96A07" w:rsidRDefault="00A056D0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Взнос </w:t>
            </w:r>
            <w:proofErr w:type="gramStart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компенсационный </w:t>
            </w:r>
          </w:p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фонд</w:t>
            </w:r>
          </w:p>
        </w:tc>
        <w:tc>
          <w:tcPr>
            <w:tcW w:w="1953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551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056D0" w:rsidTr="00A056D0">
        <w:tc>
          <w:tcPr>
            <w:tcW w:w="3085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60 000 000 рублей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(1-ый уровень ответственности)</w:t>
            </w:r>
          </w:p>
          <w:p w:rsidR="00A056D0" w:rsidRDefault="00A056D0" w:rsidP="00F15F35"/>
        </w:tc>
        <w:tc>
          <w:tcPr>
            <w:tcW w:w="2158" w:type="dxa"/>
          </w:tcPr>
          <w:p w:rsidR="00A056D0" w:rsidRDefault="00A056D0" w:rsidP="00F15F35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00 000 рублей</w:t>
            </w:r>
          </w:p>
        </w:tc>
        <w:tc>
          <w:tcPr>
            <w:tcW w:w="1953" w:type="dxa"/>
          </w:tcPr>
          <w:p w:rsidR="00A056D0" w:rsidRDefault="00A056D0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056D0" w:rsidRDefault="00A056D0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500 000 000 рублей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(2-ой уровень ответственности)</w:t>
            </w:r>
          </w:p>
          <w:p w:rsidR="00A056D0" w:rsidRDefault="00A056D0" w:rsidP="00F15F35"/>
        </w:tc>
        <w:tc>
          <w:tcPr>
            <w:tcW w:w="2158" w:type="dxa"/>
          </w:tcPr>
          <w:p w:rsidR="00A056D0" w:rsidRDefault="00A056D0" w:rsidP="00F15F35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2 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500 000 рублей</w:t>
            </w:r>
          </w:p>
        </w:tc>
        <w:tc>
          <w:tcPr>
            <w:tcW w:w="1953" w:type="dxa"/>
          </w:tcPr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10 000 000 рублей</w:t>
            </w:r>
          </w:p>
          <w:p w:rsidR="00A056D0" w:rsidRDefault="00A056D0" w:rsidP="00F15F35"/>
        </w:tc>
        <w:bookmarkStart w:id="0" w:name="_GoBack"/>
        <w:bookmarkEnd w:id="0"/>
      </w:tr>
      <w:tr w:rsidR="00A056D0" w:rsidTr="00A056D0">
        <w:tc>
          <w:tcPr>
            <w:tcW w:w="3085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3 000 000 000 рублей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(3-ий уровень ответственности)</w:t>
            </w:r>
          </w:p>
          <w:p w:rsidR="00A056D0" w:rsidRDefault="00A056D0" w:rsidP="00F15F35"/>
        </w:tc>
        <w:tc>
          <w:tcPr>
            <w:tcW w:w="2158" w:type="dxa"/>
          </w:tcPr>
          <w:p w:rsidR="00A056D0" w:rsidRDefault="00A056D0" w:rsidP="00F15F35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500 000 рублей</w:t>
            </w:r>
          </w:p>
        </w:tc>
        <w:tc>
          <w:tcPr>
            <w:tcW w:w="1953" w:type="dxa"/>
          </w:tcPr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20 000 000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10 000 000 000 рублей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(4-ый уровень ответственности)</w:t>
            </w:r>
          </w:p>
          <w:p w:rsidR="00A056D0" w:rsidRDefault="00A056D0" w:rsidP="00F15F35"/>
        </w:tc>
        <w:tc>
          <w:tcPr>
            <w:tcW w:w="2158" w:type="dxa"/>
          </w:tcPr>
          <w:p w:rsidR="00A056D0" w:rsidRDefault="00A056D0" w:rsidP="00F15F35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000 000 рублей</w:t>
            </w:r>
          </w:p>
        </w:tc>
        <w:tc>
          <w:tcPr>
            <w:tcW w:w="1953" w:type="dxa"/>
          </w:tcPr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от 10 000 000 000 рублей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(5-ый уровень ответственности)</w:t>
            </w:r>
          </w:p>
          <w:p w:rsidR="00A056D0" w:rsidRDefault="00A056D0" w:rsidP="00F15F35">
            <w:pPr>
              <w:ind w:firstLine="708"/>
            </w:pPr>
          </w:p>
        </w:tc>
        <w:tc>
          <w:tcPr>
            <w:tcW w:w="2158" w:type="dxa"/>
          </w:tcPr>
          <w:p w:rsidR="00A056D0" w:rsidRDefault="00A056D0" w:rsidP="00F15F35"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5 000 000 рублей</w:t>
            </w:r>
          </w:p>
        </w:tc>
        <w:tc>
          <w:tcPr>
            <w:tcW w:w="1953" w:type="dxa"/>
          </w:tcPr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100 000 000 рублей</w:t>
            </w:r>
          </w:p>
          <w:p w:rsidR="00A056D0" w:rsidRDefault="00A056D0" w:rsidP="00F15F35"/>
        </w:tc>
      </w:tr>
    </w:tbl>
    <w:p w:rsidR="008355BF" w:rsidRP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8355BF" w:rsidRDefault="008355BF"/>
    <w:sectPr w:rsidR="008355BF" w:rsidSect="009A3F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1D"/>
    <w:multiLevelType w:val="multilevel"/>
    <w:tmpl w:val="74C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E71B9"/>
    <w:multiLevelType w:val="multilevel"/>
    <w:tmpl w:val="12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C"/>
    <w:rsid w:val="00086644"/>
    <w:rsid w:val="0017142F"/>
    <w:rsid w:val="00174CDF"/>
    <w:rsid w:val="001A67FB"/>
    <w:rsid w:val="001C5F39"/>
    <w:rsid w:val="00242B84"/>
    <w:rsid w:val="00561E67"/>
    <w:rsid w:val="006347FE"/>
    <w:rsid w:val="006E6920"/>
    <w:rsid w:val="008355BF"/>
    <w:rsid w:val="0097301E"/>
    <w:rsid w:val="009A3FCD"/>
    <w:rsid w:val="00A056D0"/>
    <w:rsid w:val="00A96A07"/>
    <w:rsid w:val="00D1709C"/>
    <w:rsid w:val="00D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826">
              <w:blockQuote w:val="1"/>
              <w:marLeft w:val="0"/>
              <w:marRight w:val="-15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21235721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sila.ru/)%20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e1afkjdhecfed6j.xn--p1ai/)%20-" TargetMode="External"/><Relationship Id="rId12" Type="http://schemas.openxmlformats.org/officeDocument/2006/relationships/hyperlink" Target="http://www.sro-o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mosk.ru/" TargetMode="External"/><Relationship Id="rId11" Type="http://schemas.openxmlformats.org/officeDocument/2006/relationships/hyperlink" Target="http://www.sro-grou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opss.ru/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-mosk.ru/)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2019-04-08T13:31:00Z</dcterms:created>
  <dcterms:modified xsi:type="dcterms:W3CDTF">2019-04-08T17:33:00Z</dcterms:modified>
</cp:coreProperties>
</file>